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20" w:lineRule="exact"/>
        <w:ind w:left="0" w:firstLine="0"/>
        <w:jc w:val="center"/>
        <w:textAlignment w:val="auto"/>
        <w:rPr>
          <w:rFonts w:hint="eastAsia" w:ascii="方正小标宋简体" w:hAnsi="方正小标宋简体" w:eastAsia="方正小标宋简体" w:cs="Times New Roman"/>
          <w:b/>
          <w:color w:val="000000"/>
          <w:sz w:val="32"/>
          <w:szCs w:val="32"/>
          <w:lang w:val="en-US" w:eastAsia="zh-CN"/>
        </w:rPr>
      </w:pPr>
      <w:r>
        <w:rPr>
          <w:rFonts w:hint="eastAsia" w:ascii="方正小标宋简体" w:hAnsi="方正小标宋简体" w:eastAsia="方正小标宋简体" w:cs="Times New Roman"/>
          <w:b/>
          <w:color w:val="000000"/>
          <w:sz w:val="32"/>
          <w:szCs w:val="32"/>
          <w:lang w:val="en-US" w:eastAsia="zh-CN"/>
        </w:rPr>
        <w:t>努力成为世界主要科学中心和创新高地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中国要强盛、要复兴，就一定要大力发展科学技术，努力成为世界主要科学中心和创新高地。我们比历史上任何时期都更接近中华民族伟大复兴的目标，我们比历史上任何时期都更需要建设世界科技强国！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形势逼人，挑战逼人，使命逼人。我国广大科技工作者要把握大势、抢占先机，直面问题、迎难而上，瞄准世界科技前沿，引领科技发展方向，肩负起历史赋予的重任，勇做新时代科技创新的排头兵。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今年是我国改革开放40周年。新时代全面深化改革决心不能动摇、勇气不能减弱。科技体制改革要敢于啃硬骨头，敢于涉险滩、闯难关，破除一切制约科技创新的思想障碍和制度藩篱，正所谓“穷则变，变则通，通则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企业是创新的主体，是推动创新创造的生力军。正如恩格斯所说：“社会一旦有技术上的需要，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※这是习近平总书记2018年5月28日在中国科学院第十九次院士大会、中国工程院第十四次院士大会上讲话的一部分。</w:t>
      </w:r>
    </w:p>
    <w:p>
      <w:pPr>
        <w:keepNext w:val="0"/>
        <w:keepLines w:val="0"/>
        <w:pageBreakBefore w:val="0"/>
        <w:widowControl/>
        <w:kinsoku/>
        <w:wordWrap/>
        <w:overflowPunct/>
        <w:topLinePunct w:val="0"/>
        <w:bidi w:val="0"/>
        <w:adjustRightInd/>
        <w:spacing w:line="360" w:lineRule="auto"/>
        <w:ind w:left="0" w:firstLine="480" w:firstLineChars="200"/>
        <w:jc w:val="right"/>
        <w:textAlignment w:val="auto"/>
        <w:rPr>
          <w:rFonts w:hint="eastAsia" w:ascii="宋体" w:hAnsi="宋体" w:eastAsia="宋体" w:cs="宋体"/>
          <w:color w:val="00000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楷体"/>
          <w:color w:val="000000"/>
          <w:sz w:val="24"/>
          <w:szCs w:val="24"/>
          <w:lang w:val="en-US" w:eastAsia="zh-CN" w:bidi="ar"/>
        </w:rPr>
        <w:t>来源：《求是》2021年第6期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33971"/>
    <w:rsid w:val="049B37AA"/>
    <w:rsid w:val="2B633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632" w:firstLine="19968"/>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ind w:left="0" w:firstLine="0"/>
      <w:jc w:val="left"/>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2021-03-19T00:18:00Z</dcterms:created>
  <dc:creator>忆昔</dc:creator>
  <cp:lastModifiedBy>忆昔</cp:lastModifiedBy>
  <dcterms:modified xsi:type="dcterms:W3CDTF">2021-03-19T00:21:51Z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D052D758A64E4074AC814CBA06851EE3</vt:lpwstr>
  </property>
</Properties>
</file>